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0" w:rsidRDefault="00721DB0" w:rsidP="00721D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 xml:space="preserve">Text 50-2013:  </w:t>
      </w:r>
      <w:r>
        <w:rPr>
          <w:rFonts w:ascii="Arial" w:hAnsi="Arial" w:cs="Arial"/>
          <w:b/>
          <w:bCs/>
          <w:iCs/>
        </w:rPr>
        <w:t>„</w:t>
      </w:r>
      <w:r>
        <w:rPr>
          <w:rFonts w:ascii="Arial" w:hAnsi="Arial" w:cs="Arial"/>
          <w:b/>
          <w:bCs/>
          <w:iCs/>
          <w:sz w:val="28"/>
          <w:szCs w:val="28"/>
        </w:rPr>
        <w:t>Orie</w:t>
      </w:r>
      <w:r w:rsidR="00A11EA4">
        <w:rPr>
          <w:rFonts w:ascii="Arial" w:hAnsi="Arial" w:cs="Arial"/>
          <w:b/>
          <w:sz w:val="28"/>
          <w:szCs w:val="28"/>
        </w:rPr>
        <w:t>ntierungshilfe</w:t>
      </w:r>
      <w:r w:rsidR="00DA40BF">
        <w:rPr>
          <w:rFonts w:ascii="Arial" w:hAnsi="Arial" w:cs="Arial"/>
          <w:b/>
          <w:sz w:val="28"/>
          <w:szCs w:val="28"/>
        </w:rPr>
        <w:t>“</w:t>
      </w:r>
      <w:r w:rsidR="000D49D1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429D3" w:rsidRDefault="00CC0D23" w:rsidP="00721D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„</w:t>
      </w:r>
      <w:r w:rsidR="00A11EA4">
        <w:rPr>
          <w:rFonts w:ascii="Arial" w:hAnsi="Arial" w:cs="Arial"/>
          <w:b/>
          <w:sz w:val="28"/>
          <w:szCs w:val="28"/>
        </w:rPr>
        <w:t>Ehe“ – was ist das nun?</w:t>
      </w:r>
    </w:p>
    <w:p w:rsidR="002C4C95" w:rsidRDefault="002C4C95" w:rsidP="002C4C95">
      <w:pPr>
        <w:rPr>
          <w:rFonts w:ascii="Arial" w:hAnsi="Arial" w:cs="Arial"/>
          <w:b/>
          <w:sz w:val="28"/>
          <w:szCs w:val="28"/>
        </w:rPr>
      </w:pPr>
    </w:p>
    <w:p w:rsidR="000D49D1" w:rsidRDefault="000D49D1" w:rsidP="002C4C9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D49D1">
        <w:rPr>
          <w:rFonts w:ascii="Arial" w:hAnsi="Arial" w:cs="Arial"/>
          <w:b/>
          <w:i/>
          <w:sz w:val="20"/>
          <w:szCs w:val="20"/>
        </w:rPr>
        <w:t>Zur Ori</w:t>
      </w:r>
      <w:r>
        <w:rPr>
          <w:rFonts w:ascii="Arial" w:hAnsi="Arial" w:cs="Arial"/>
          <w:b/>
          <w:i/>
          <w:sz w:val="20"/>
          <w:szCs w:val="20"/>
        </w:rPr>
        <w:t xml:space="preserve">entierungshilfe </w:t>
      </w:r>
      <w:r w:rsidRPr="000D49D1">
        <w:rPr>
          <w:rFonts w:ascii="Arial" w:hAnsi="Arial" w:cs="Arial"/>
          <w:b/>
          <w:i/>
          <w:sz w:val="20"/>
          <w:szCs w:val="20"/>
        </w:rPr>
        <w:t>„Zwischen Autonomie und Angewiesenheit. Familie als verlässliche Gemeinschaft stärken“</w:t>
      </w:r>
      <w:r w:rsidR="00A97DC9">
        <w:rPr>
          <w:rFonts w:ascii="Arial" w:hAnsi="Arial" w:cs="Arial"/>
          <w:b/>
          <w:i/>
          <w:sz w:val="20"/>
          <w:szCs w:val="20"/>
        </w:rPr>
        <w:t>:</w:t>
      </w:r>
      <w:r w:rsidRPr="000D49D1">
        <w:rPr>
          <w:rFonts w:ascii="Arial" w:hAnsi="Arial" w:cs="Arial"/>
          <w:b/>
          <w:sz w:val="20"/>
          <w:szCs w:val="20"/>
        </w:rPr>
        <w:t xml:space="preserve"> </w:t>
      </w:r>
      <w:r w:rsidR="002C4C95" w:rsidRPr="002C4C95">
        <w:rPr>
          <w:rFonts w:ascii="Arial" w:hAnsi="Arial" w:cs="Arial"/>
          <w:b/>
          <w:i/>
          <w:sz w:val="20"/>
          <w:szCs w:val="20"/>
        </w:rPr>
        <w:t>E</w:t>
      </w:r>
      <w:r w:rsidR="001A7AC4">
        <w:rPr>
          <w:rFonts w:ascii="Arial" w:hAnsi="Arial" w:cs="Arial"/>
          <w:b/>
          <w:i/>
          <w:sz w:val="20"/>
          <w:szCs w:val="20"/>
        </w:rPr>
        <w:t xml:space="preserve">ine </w:t>
      </w:r>
      <w:r>
        <w:rPr>
          <w:rFonts w:ascii="Arial" w:hAnsi="Arial" w:cs="Arial"/>
          <w:b/>
          <w:i/>
          <w:sz w:val="20"/>
          <w:szCs w:val="20"/>
        </w:rPr>
        <w:t xml:space="preserve">zusammenfassende </w:t>
      </w:r>
      <w:r w:rsidR="001A7AC4">
        <w:rPr>
          <w:rFonts w:ascii="Arial" w:hAnsi="Arial" w:cs="Arial"/>
          <w:b/>
          <w:i/>
          <w:sz w:val="20"/>
          <w:szCs w:val="20"/>
        </w:rPr>
        <w:t>Thesensammlung zu Beginn</w:t>
      </w:r>
      <w:r w:rsidR="002C4C95" w:rsidRPr="002C4C95">
        <w:rPr>
          <w:rFonts w:ascii="Arial" w:hAnsi="Arial" w:cs="Arial"/>
          <w:b/>
          <w:i/>
          <w:sz w:val="20"/>
          <w:szCs w:val="20"/>
        </w:rPr>
        <w:t>:</w:t>
      </w:r>
      <w:r w:rsidR="002C4C9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D49D1" w:rsidRDefault="000D49D1" w:rsidP="002C4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DA40BF">
        <w:rPr>
          <w:rFonts w:ascii="Arial" w:hAnsi="Arial" w:cs="Arial"/>
          <w:sz w:val="20"/>
          <w:szCs w:val="20"/>
        </w:rPr>
        <w:t xml:space="preserve"> Ausgangspunkt: </w:t>
      </w:r>
      <w:r w:rsidR="002C4C95">
        <w:rPr>
          <w:rFonts w:ascii="Arial" w:hAnsi="Arial" w:cs="Arial"/>
          <w:sz w:val="20"/>
          <w:szCs w:val="20"/>
        </w:rPr>
        <w:t>„Es ist nicht</w:t>
      </w:r>
      <w:r>
        <w:rPr>
          <w:rFonts w:ascii="Arial" w:hAnsi="Arial" w:cs="Arial"/>
          <w:sz w:val="20"/>
          <w:szCs w:val="20"/>
        </w:rPr>
        <w:t xml:space="preserve"> gut,</w:t>
      </w:r>
      <w:r w:rsidR="002C4C95">
        <w:rPr>
          <w:rFonts w:ascii="Arial" w:hAnsi="Arial" w:cs="Arial"/>
          <w:sz w:val="20"/>
          <w:szCs w:val="20"/>
        </w:rPr>
        <w:t xml:space="preserve"> dass der </w:t>
      </w:r>
      <w:r w:rsidR="00463110">
        <w:rPr>
          <w:rFonts w:ascii="Arial" w:hAnsi="Arial" w:cs="Arial"/>
          <w:sz w:val="20"/>
          <w:szCs w:val="20"/>
        </w:rPr>
        <w:t>M</w:t>
      </w:r>
      <w:r w:rsidR="002C4C95">
        <w:rPr>
          <w:rFonts w:ascii="Arial" w:hAnsi="Arial" w:cs="Arial"/>
          <w:sz w:val="20"/>
          <w:szCs w:val="20"/>
        </w:rPr>
        <w:t>ensch allein ist.“</w:t>
      </w:r>
    </w:p>
    <w:p w:rsidR="000D49D1" w:rsidRDefault="000D49D1" w:rsidP="002C4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„Zwischen</w:t>
      </w:r>
      <w:r w:rsidR="002C4C95">
        <w:rPr>
          <w:rFonts w:ascii="Arial" w:hAnsi="Arial" w:cs="Arial"/>
          <w:sz w:val="20"/>
          <w:szCs w:val="20"/>
        </w:rPr>
        <w:t xml:space="preserve"> Autonomie und Angewiesenheit</w:t>
      </w:r>
      <w:r w:rsidR="00A97DC9">
        <w:rPr>
          <w:rFonts w:ascii="Arial" w:hAnsi="Arial" w:cs="Arial"/>
          <w:sz w:val="20"/>
          <w:szCs w:val="20"/>
        </w:rPr>
        <w:t>“: Menschen im Spannungsfeld autonomer Lebensgesta</w:t>
      </w:r>
      <w:r w:rsidR="00A97DC9">
        <w:rPr>
          <w:rFonts w:ascii="Arial" w:hAnsi="Arial" w:cs="Arial"/>
          <w:sz w:val="20"/>
          <w:szCs w:val="20"/>
        </w:rPr>
        <w:t>l</w:t>
      </w:r>
      <w:r w:rsidR="00A97DC9">
        <w:rPr>
          <w:rFonts w:ascii="Arial" w:hAnsi="Arial" w:cs="Arial"/>
          <w:sz w:val="20"/>
          <w:szCs w:val="20"/>
        </w:rPr>
        <w:t>tung und vielfältiger Angewiesenheit aufeinander.</w:t>
      </w:r>
    </w:p>
    <w:p w:rsidR="000D49D1" w:rsidRDefault="000D49D1" w:rsidP="002C4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„Eine breite Vielfalt von Familienformen ist, historisch betrachtet, der Normalfall.“ (11)</w:t>
      </w:r>
    </w:p>
    <w:p w:rsidR="00463110" w:rsidRDefault="000D49D1" w:rsidP="002C4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Verfassungsrechtliche Vorgaben und Leitbilder von Ehe und Familie führen zur Anerkennung eines erweiterten Familienbegriffs (12).</w:t>
      </w:r>
    </w:p>
    <w:p w:rsidR="000D49D1" w:rsidRDefault="000D49D1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463110" w:rsidRPr="001A7AC4">
        <w:rPr>
          <w:rFonts w:ascii="Arial" w:hAnsi="Arial" w:cs="Arial"/>
          <w:sz w:val="20"/>
          <w:szCs w:val="20"/>
        </w:rPr>
        <w:t>Zur theologischen Orientierung heißt es: „Ein normatives Verständnis der Ehe als ‚</w:t>
      </w:r>
      <w:r>
        <w:rPr>
          <w:rFonts w:ascii="Arial" w:hAnsi="Arial" w:cs="Arial"/>
          <w:sz w:val="20"/>
          <w:szCs w:val="20"/>
        </w:rPr>
        <w:t xml:space="preserve">göttliche Stiftung‘ </w:t>
      </w:r>
      <w:r w:rsidR="00463110" w:rsidRPr="001A7AC4">
        <w:rPr>
          <w:rFonts w:ascii="Arial" w:hAnsi="Arial" w:cs="Arial"/>
          <w:sz w:val="20"/>
          <w:szCs w:val="20"/>
        </w:rPr>
        <w:t xml:space="preserve">und eine Herleitung der traditionellen Geschlechterrollen aus der Schöpfungsordnung entsprechen nicht der Breite des biblischen Zeugnisses.“ </w:t>
      </w:r>
      <w:r>
        <w:rPr>
          <w:rFonts w:ascii="Arial" w:hAnsi="Arial" w:cs="Arial"/>
          <w:sz w:val="20"/>
          <w:szCs w:val="20"/>
        </w:rPr>
        <w:t>(13)</w:t>
      </w:r>
    </w:p>
    <w:p w:rsidR="00852EC7" w:rsidRDefault="000D49D1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Die Reformation </w:t>
      </w:r>
      <w:r w:rsidR="00852EC7">
        <w:rPr>
          <w:rFonts w:ascii="Arial" w:hAnsi="Arial" w:cs="Arial"/>
          <w:sz w:val="20"/>
          <w:szCs w:val="20"/>
        </w:rPr>
        <w:t xml:space="preserve">versteht die Ehe als </w:t>
      </w:r>
      <w:r w:rsidR="00463110" w:rsidRPr="001A7AC4">
        <w:rPr>
          <w:rFonts w:ascii="Arial" w:hAnsi="Arial" w:cs="Arial"/>
          <w:sz w:val="20"/>
          <w:szCs w:val="20"/>
        </w:rPr>
        <w:t>ein „weltlich Ding“</w:t>
      </w:r>
      <w:r w:rsidR="00852EC7">
        <w:rPr>
          <w:rFonts w:ascii="Arial" w:hAnsi="Arial" w:cs="Arial"/>
          <w:sz w:val="20"/>
          <w:szCs w:val="20"/>
        </w:rPr>
        <w:t>; „sie ist k</w:t>
      </w:r>
      <w:r w:rsidR="00463110" w:rsidRPr="001A7AC4">
        <w:rPr>
          <w:rFonts w:ascii="Arial" w:hAnsi="Arial" w:cs="Arial"/>
          <w:sz w:val="20"/>
          <w:szCs w:val="20"/>
        </w:rPr>
        <w:t>ein Sakrament</w:t>
      </w:r>
      <w:r w:rsidR="00852EC7">
        <w:rPr>
          <w:rFonts w:ascii="Arial" w:hAnsi="Arial" w:cs="Arial"/>
          <w:sz w:val="20"/>
          <w:szCs w:val="20"/>
        </w:rPr>
        <w:t xml:space="preserve">, </w:t>
      </w:r>
      <w:r w:rsidR="00463110" w:rsidRPr="001A7AC4">
        <w:rPr>
          <w:rFonts w:ascii="Arial" w:hAnsi="Arial" w:cs="Arial"/>
          <w:sz w:val="20"/>
          <w:szCs w:val="20"/>
        </w:rPr>
        <w:t>sondern eine G</w:t>
      </w:r>
      <w:r w:rsidR="00463110" w:rsidRPr="001A7AC4">
        <w:rPr>
          <w:rFonts w:ascii="Arial" w:hAnsi="Arial" w:cs="Arial"/>
          <w:sz w:val="20"/>
          <w:szCs w:val="20"/>
        </w:rPr>
        <w:t>e</w:t>
      </w:r>
      <w:r w:rsidR="00463110" w:rsidRPr="001A7AC4">
        <w:rPr>
          <w:rFonts w:ascii="Arial" w:hAnsi="Arial" w:cs="Arial"/>
          <w:sz w:val="20"/>
          <w:szCs w:val="20"/>
        </w:rPr>
        <w:t>meinschaft, die unter dem Segen Gottes steht“</w:t>
      </w:r>
      <w:r w:rsidR="00852EC7">
        <w:rPr>
          <w:rFonts w:ascii="Arial" w:hAnsi="Arial" w:cs="Arial"/>
          <w:sz w:val="20"/>
          <w:szCs w:val="20"/>
        </w:rPr>
        <w:t xml:space="preserve"> (ebd.)</w:t>
      </w:r>
      <w:r w:rsidR="00463110" w:rsidRPr="001A7AC4">
        <w:rPr>
          <w:rFonts w:ascii="Arial" w:hAnsi="Arial" w:cs="Arial"/>
          <w:sz w:val="20"/>
          <w:szCs w:val="20"/>
        </w:rPr>
        <w:t xml:space="preserve">,  </w:t>
      </w:r>
    </w:p>
    <w:p w:rsidR="00852EC7" w:rsidRDefault="00852EC7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A7AC4" w:rsidRPr="001A7AC4">
        <w:rPr>
          <w:rFonts w:ascii="Arial" w:hAnsi="Arial" w:cs="Arial"/>
          <w:sz w:val="20"/>
          <w:szCs w:val="20"/>
        </w:rPr>
        <w:t xml:space="preserve">„Protestantische Theologie unterstützt das </w:t>
      </w:r>
      <w:r w:rsidR="001A7AC4">
        <w:rPr>
          <w:rFonts w:ascii="Arial" w:hAnsi="Arial" w:cs="Arial"/>
          <w:sz w:val="20"/>
          <w:szCs w:val="20"/>
        </w:rPr>
        <w:t>L</w:t>
      </w:r>
      <w:r w:rsidR="001A7AC4" w:rsidRPr="001A7AC4">
        <w:rPr>
          <w:rFonts w:ascii="Arial" w:hAnsi="Arial" w:cs="Arial"/>
          <w:sz w:val="20"/>
          <w:szCs w:val="20"/>
        </w:rPr>
        <w:t xml:space="preserve">eitbild </w:t>
      </w:r>
      <w:r w:rsidR="001A7AC4">
        <w:rPr>
          <w:rFonts w:ascii="Arial" w:hAnsi="Arial" w:cs="Arial"/>
          <w:sz w:val="20"/>
          <w:szCs w:val="20"/>
        </w:rPr>
        <w:t xml:space="preserve">der an Gerechtigkeit orientierten Familie, die in verlässlicher und verbindlicher Partnerschaft verantwortlich gelebt wird.“ </w:t>
      </w:r>
      <w:r w:rsidR="00463110" w:rsidRPr="001A7AC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Ebd.)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1A7AC4">
        <w:rPr>
          <w:rFonts w:ascii="Arial" w:hAnsi="Arial" w:cs="Arial"/>
          <w:sz w:val="20"/>
          <w:szCs w:val="20"/>
        </w:rPr>
        <w:t xml:space="preserve">Es folgen </w:t>
      </w:r>
      <w:r>
        <w:rPr>
          <w:rFonts w:ascii="Arial" w:hAnsi="Arial" w:cs="Arial"/>
          <w:sz w:val="20"/>
          <w:szCs w:val="20"/>
        </w:rPr>
        <w:t>„</w:t>
      </w:r>
      <w:r w:rsidR="001A7AC4">
        <w:rPr>
          <w:rFonts w:ascii="Arial" w:hAnsi="Arial" w:cs="Arial"/>
          <w:sz w:val="20"/>
          <w:szCs w:val="20"/>
        </w:rPr>
        <w:t>Thesen</w:t>
      </w:r>
      <w:r>
        <w:rPr>
          <w:rFonts w:ascii="Arial" w:hAnsi="Arial" w:cs="Arial"/>
          <w:sz w:val="20"/>
          <w:szCs w:val="20"/>
        </w:rPr>
        <w:t>“</w:t>
      </w:r>
      <w:r w:rsidR="001A7AC4">
        <w:rPr>
          <w:rFonts w:ascii="Arial" w:hAnsi="Arial" w:cs="Arial"/>
          <w:sz w:val="20"/>
          <w:szCs w:val="20"/>
        </w:rPr>
        <w:t xml:space="preserve"> zu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den Herausforderungen und Brennpunkten der Familienpolitik,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Zeit füreinander – Alltag und Feste,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>Erwerb</w:t>
      </w:r>
      <w:r w:rsidR="00A97DC9">
        <w:rPr>
          <w:rFonts w:ascii="Arial" w:hAnsi="Arial" w:cs="Arial"/>
          <w:sz w:val="20"/>
          <w:szCs w:val="20"/>
        </w:rPr>
        <w:t>s</w:t>
      </w:r>
      <w:r w:rsidR="001A7AC4">
        <w:rPr>
          <w:rFonts w:ascii="Arial" w:hAnsi="Arial" w:cs="Arial"/>
          <w:sz w:val="20"/>
          <w:szCs w:val="20"/>
        </w:rPr>
        <w:t xml:space="preserve">arbeit und Sorgetätigkeiten in der Familie,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Erziehung und Bildung,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A40BF">
        <w:rPr>
          <w:rFonts w:ascii="Arial" w:hAnsi="Arial" w:cs="Arial"/>
          <w:sz w:val="20"/>
          <w:szCs w:val="20"/>
        </w:rPr>
        <w:t xml:space="preserve">Generationenbeziehungen </w:t>
      </w:r>
      <w:r w:rsidR="001A7AC4">
        <w:rPr>
          <w:rFonts w:ascii="Arial" w:hAnsi="Arial" w:cs="Arial"/>
          <w:sz w:val="20"/>
          <w:szCs w:val="20"/>
        </w:rPr>
        <w:t xml:space="preserve">und Fürsorglichkeit,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>Häusliche</w:t>
      </w:r>
      <w:r>
        <w:rPr>
          <w:rFonts w:ascii="Arial" w:hAnsi="Arial" w:cs="Arial"/>
          <w:sz w:val="20"/>
          <w:szCs w:val="20"/>
        </w:rPr>
        <w:t>r</w:t>
      </w:r>
      <w:r w:rsidR="001A7AC4">
        <w:rPr>
          <w:rFonts w:ascii="Arial" w:hAnsi="Arial" w:cs="Arial"/>
          <w:sz w:val="20"/>
          <w:szCs w:val="20"/>
        </w:rPr>
        <w:t xml:space="preserve"> Pflege,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Gewalt in Familien,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Migration und Familienkulturen,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Reichtum und Armut von Familien, </w:t>
      </w:r>
    </w:p>
    <w:p w:rsidR="00C8753F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7AC4">
        <w:rPr>
          <w:rFonts w:ascii="Arial" w:hAnsi="Arial" w:cs="Arial"/>
          <w:sz w:val="20"/>
          <w:szCs w:val="20"/>
        </w:rPr>
        <w:t xml:space="preserve">Familienpolitik als neue Form sozialer Politik, </w:t>
      </w:r>
    </w:p>
    <w:p w:rsidR="002C4C95" w:rsidRDefault="00C8753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die Frage: </w:t>
      </w:r>
      <w:r w:rsidR="001A7AC4">
        <w:rPr>
          <w:rFonts w:ascii="Arial" w:hAnsi="Arial" w:cs="Arial"/>
          <w:sz w:val="20"/>
          <w:szCs w:val="20"/>
        </w:rPr>
        <w:t>Wie Kirche und Diakonie die Familien stark ma</w:t>
      </w:r>
      <w:r>
        <w:rPr>
          <w:rFonts w:ascii="Arial" w:hAnsi="Arial" w:cs="Arial"/>
          <w:sz w:val="20"/>
          <w:szCs w:val="20"/>
        </w:rPr>
        <w:t>chen können.</w:t>
      </w:r>
    </w:p>
    <w:p w:rsidR="006A5D8B" w:rsidRDefault="006A5D8B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Positive Momente:</w:t>
      </w:r>
    </w:p>
    <w:p w:rsidR="006A5D8B" w:rsidRDefault="006A5D8B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Es gibt </w:t>
      </w:r>
      <w:r w:rsidR="00DA40BF">
        <w:rPr>
          <w:rFonts w:ascii="Arial" w:hAnsi="Arial" w:cs="Arial"/>
          <w:sz w:val="20"/>
          <w:szCs w:val="20"/>
        </w:rPr>
        <w:t xml:space="preserve">kaum </w:t>
      </w:r>
      <w:r>
        <w:rPr>
          <w:rFonts w:ascii="Arial" w:hAnsi="Arial" w:cs="Arial"/>
          <w:sz w:val="20"/>
          <w:szCs w:val="20"/>
        </w:rPr>
        <w:t xml:space="preserve">eine kirchliche Verlautbarung mit einer so starken Analyse der verschiedenen Formen gesellschaftlichen Zusammenlebens bei uns </w:t>
      </w:r>
      <w:r w:rsidR="00DA40BF">
        <w:rPr>
          <w:rFonts w:ascii="Arial" w:hAnsi="Arial" w:cs="Arial"/>
          <w:sz w:val="20"/>
          <w:szCs w:val="20"/>
        </w:rPr>
        <w:t>und mit soviel statistischen Daten wie diese.</w:t>
      </w:r>
    </w:p>
    <w:p w:rsidR="00441DE3" w:rsidRDefault="00441DE3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Die thesenhaft genannten Problemfelder </w:t>
      </w:r>
      <w:r w:rsidR="00A97DC9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im weiteren Textverlauf ausführlich entfaltet.</w:t>
      </w:r>
    </w:p>
    <w:p w:rsidR="00441DE3" w:rsidRDefault="00441DE3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Kritische Beobachtungen:</w:t>
      </w:r>
    </w:p>
    <w:p w:rsidR="00441DE3" w:rsidRDefault="00441DE3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Eine handlungsorientierte Hilfe muss dem Dreischritt SEHEN – URTEILEN – HANDELN Raum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ben; sie kann vor alle</w:t>
      </w:r>
      <w:r w:rsidR="00A97D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auf eine kritische </w:t>
      </w:r>
      <w:r w:rsidR="00DA40BF">
        <w:rPr>
          <w:rFonts w:ascii="Arial" w:hAnsi="Arial" w:cs="Arial"/>
          <w:sz w:val="20"/>
          <w:szCs w:val="20"/>
        </w:rPr>
        <w:t xml:space="preserve">Sondierung und </w:t>
      </w:r>
      <w:r>
        <w:rPr>
          <w:rFonts w:ascii="Arial" w:hAnsi="Arial" w:cs="Arial"/>
          <w:sz w:val="20"/>
          <w:szCs w:val="20"/>
        </w:rPr>
        <w:t>Beurteilung der Fakten nicht verzichten.</w:t>
      </w:r>
    </w:p>
    <w:p w:rsidR="007A6522" w:rsidRDefault="00441DE3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Die Orientierungshilfe macht sich ohne Grund die juristischen Vorgaben hinsichtlich der Ehe zue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gen</w:t>
      </w:r>
      <w:r w:rsidR="00DA40BF">
        <w:rPr>
          <w:rFonts w:ascii="Arial" w:hAnsi="Arial" w:cs="Arial"/>
          <w:sz w:val="20"/>
          <w:szCs w:val="20"/>
        </w:rPr>
        <w:t xml:space="preserve">; es gelten </w:t>
      </w:r>
      <w:r>
        <w:rPr>
          <w:rFonts w:ascii="Arial" w:hAnsi="Arial" w:cs="Arial"/>
          <w:sz w:val="20"/>
          <w:szCs w:val="20"/>
        </w:rPr>
        <w:t xml:space="preserve">für Ehe und Lebensgemeinschaften als „gemeinsame konstitutive Elemente“: „Sie sind auf Dauer </w:t>
      </w:r>
      <w:r>
        <w:rPr>
          <w:rFonts w:ascii="Arial" w:hAnsi="Arial" w:cs="Arial"/>
          <w:b/>
          <w:sz w:val="20"/>
          <w:szCs w:val="20"/>
        </w:rPr>
        <w:t>angelegt, rechtlich verbindliche Lebensbeziehungen und begründen eine gegenseit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ge Unterhalts- und Einstandspflicht“ </w:t>
      </w:r>
      <w:r>
        <w:rPr>
          <w:rFonts w:ascii="Arial" w:hAnsi="Arial" w:cs="Arial"/>
          <w:sz w:val="20"/>
          <w:szCs w:val="20"/>
        </w:rPr>
        <w:t>(45).</w:t>
      </w:r>
    </w:p>
    <w:p w:rsidR="007A6522" w:rsidRDefault="007A6522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Ausdrücklich heißt</w:t>
      </w:r>
      <w:r w:rsidR="00FB3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FB3DA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von dem „erweiterten Familienbegriff“, dass „die Ehe nicht mehr notwendige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weise die Voraussetzung für Elternschaft und für Familie im Sinne des Art. 6 GG ist“ (142).</w:t>
      </w:r>
    </w:p>
    <w:p w:rsidR="00441DE3" w:rsidRDefault="007A6522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Eine naturrechtliche </w:t>
      </w:r>
      <w:r w:rsidR="00DA40BF">
        <w:rPr>
          <w:rFonts w:ascii="Arial" w:hAnsi="Arial" w:cs="Arial"/>
          <w:sz w:val="20"/>
          <w:szCs w:val="20"/>
        </w:rPr>
        <w:t xml:space="preserve">und biblisch orientierte </w:t>
      </w:r>
      <w:r>
        <w:rPr>
          <w:rFonts w:ascii="Arial" w:hAnsi="Arial" w:cs="Arial"/>
          <w:sz w:val="20"/>
          <w:szCs w:val="20"/>
        </w:rPr>
        <w:t>Begründung der Ehe, wie sie katholischerseits vertreten wird, nach der die Ehe die lebenslange Liebesverbindung zwischen Mann und Frau</w:t>
      </w:r>
      <w:r w:rsidR="00441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der Offenheit zur Zeugung von Nachkommenschaft ist, wird ausdrücklich nicht vertreten (s. oben die Ablehnung eines normativen Eheverständnisses aus der Schöpfungsordnung)..</w:t>
      </w:r>
    </w:p>
    <w:p w:rsidR="00FB3DA6" w:rsidRDefault="007A6522" w:rsidP="00FB3DA6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Eine Begründung des Eheverständnisses auf der Grundlage der evangelischen Sozialethik, die zur Ausbildung eines christlichen Standpunktes inmitten der Vielfalt menschlicher </w:t>
      </w:r>
      <w:r w:rsidR="00FB3DA6">
        <w:rPr>
          <w:rFonts w:ascii="Arial" w:hAnsi="Arial" w:cs="Arial"/>
          <w:sz w:val="20"/>
          <w:szCs w:val="20"/>
        </w:rPr>
        <w:t>Gemeinschaftsformen</w:t>
      </w:r>
      <w:r>
        <w:rPr>
          <w:rFonts w:ascii="Arial" w:hAnsi="Arial" w:cs="Arial"/>
          <w:sz w:val="20"/>
          <w:szCs w:val="20"/>
        </w:rPr>
        <w:t xml:space="preserve"> geführt hätte, </w:t>
      </w:r>
      <w:r w:rsidR="00A55F00">
        <w:rPr>
          <w:rFonts w:ascii="Arial" w:hAnsi="Arial" w:cs="Arial"/>
          <w:sz w:val="20"/>
          <w:szCs w:val="20"/>
        </w:rPr>
        <w:t>fällt aus (vgl. das Fehlen der ev. Sozialethik</w:t>
      </w:r>
      <w:r w:rsidR="00FB3DA6">
        <w:rPr>
          <w:rFonts w:ascii="Arial" w:hAnsi="Arial" w:cs="Arial"/>
          <w:sz w:val="20"/>
          <w:szCs w:val="20"/>
        </w:rPr>
        <w:t>er wie M. Honecker u.a. im Literaturve</w:t>
      </w:r>
      <w:r w:rsidR="00FB3DA6">
        <w:rPr>
          <w:rFonts w:ascii="Arial" w:hAnsi="Arial" w:cs="Arial"/>
          <w:sz w:val="20"/>
          <w:szCs w:val="20"/>
        </w:rPr>
        <w:t>r</w:t>
      </w:r>
      <w:r w:rsidR="00FB3DA6">
        <w:rPr>
          <w:rFonts w:ascii="Arial" w:hAnsi="Arial" w:cs="Arial"/>
          <w:sz w:val="20"/>
          <w:szCs w:val="20"/>
        </w:rPr>
        <w:t>zeichnis)..</w:t>
      </w:r>
    </w:p>
    <w:p w:rsidR="00A55F00" w:rsidRDefault="00A55F00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Der Umgang mit biblischen </w:t>
      </w:r>
      <w:r w:rsidR="00FB3DA6">
        <w:rPr>
          <w:rFonts w:ascii="Arial" w:hAnsi="Arial" w:cs="Arial"/>
          <w:sz w:val="20"/>
          <w:szCs w:val="20"/>
        </w:rPr>
        <w:t>Texten</w:t>
      </w:r>
      <w:r>
        <w:rPr>
          <w:rFonts w:ascii="Arial" w:hAnsi="Arial" w:cs="Arial"/>
          <w:sz w:val="20"/>
          <w:szCs w:val="20"/>
        </w:rPr>
        <w:t xml:space="preserve"> im Ersten und Zweiten Testament </w:t>
      </w:r>
      <w:r w:rsidR="00FB3DA6">
        <w:rPr>
          <w:rFonts w:ascii="Arial" w:hAnsi="Arial" w:cs="Arial"/>
          <w:sz w:val="20"/>
          <w:szCs w:val="20"/>
        </w:rPr>
        <w:t xml:space="preserve">ist defizitär und </w:t>
      </w:r>
      <w:r>
        <w:rPr>
          <w:rFonts w:ascii="Arial" w:hAnsi="Arial" w:cs="Arial"/>
          <w:sz w:val="20"/>
          <w:szCs w:val="20"/>
        </w:rPr>
        <w:t>lässt die zen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rale Christusorientierung vermissen</w:t>
      </w:r>
      <w:r w:rsidR="00FB3DA6">
        <w:rPr>
          <w:rFonts w:ascii="Arial" w:hAnsi="Arial" w:cs="Arial"/>
          <w:sz w:val="20"/>
          <w:szCs w:val="20"/>
        </w:rPr>
        <w:t xml:space="preserve">; das </w:t>
      </w:r>
      <w:r>
        <w:rPr>
          <w:rFonts w:ascii="Arial" w:hAnsi="Arial" w:cs="Arial"/>
          <w:sz w:val="20"/>
          <w:szCs w:val="20"/>
        </w:rPr>
        <w:t>christliche</w:t>
      </w:r>
      <w:r w:rsidR="00FB3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Grund</w:t>
      </w:r>
      <w:r w:rsidR="00FB3DA6">
        <w:rPr>
          <w:rFonts w:ascii="Arial" w:hAnsi="Arial" w:cs="Arial"/>
          <w:sz w:val="20"/>
          <w:szCs w:val="20"/>
        </w:rPr>
        <w:t>verständnis</w:t>
      </w:r>
      <w:r w:rsidR="00DA40BF">
        <w:rPr>
          <w:rFonts w:ascii="Arial" w:hAnsi="Arial" w:cs="Arial"/>
          <w:sz w:val="20"/>
          <w:szCs w:val="20"/>
        </w:rPr>
        <w:t xml:space="preserve"> von Ehe </w:t>
      </w:r>
      <w:r w:rsidR="00235179">
        <w:rPr>
          <w:rFonts w:ascii="Arial" w:hAnsi="Arial" w:cs="Arial"/>
          <w:sz w:val="20"/>
          <w:szCs w:val="20"/>
        </w:rPr>
        <w:t>bleibt profillos.</w:t>
      </w:r>
    </w:p>
    <w:p w:rsidR="00C2552F" w:rsidRDefault="00A55F00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235179">
        <w:rPr>
          <w:rFonts w:ascii="Arial" w:hAnsi="Arial" w:cs="Arial"/>
          <w:sz w:val="20"/>
          <w:szCs w:val="20"/>
        </w:rPr>
        <w:t xml:space="preserve">Dafür wird das traditionelle </w:t>
      </w:r>
      <w:r>
        <w:rPr>
          <w:rFonts w:ascii="Arial" w:hAnsi="Arial" w:cs="Arial"/>
          <w:sz w:val="20"/>
          <w:szCs w:val="20"/>
        </w:rPr>
        <w:t>christliche Ehe</w:t>
      </w:r>
      <w:r w:rsidR="00235179">
        <w:rPr>
          <w:rFonts w:ascii="Arial" w:hAnsi="Arial" w:cs="Arial"/>
          <w:sz w:val="20"/>
          <w:szCs w:val="20"/>
        </w:rPr>
        <w:t>ideal</w:t>
      </w:r>
      <w:r>
        <w:rPr>
          <w:rFonts w:ascii="Arial" w:hAnsi="Arial" w:cs="Arial"/>
          <w:sz w:val="20"/>
          <w:szCs w:val="20"/>
        </w:rPr>
        <w:t xml:space="preserve"> </w:t>
      </w:r>
      <w:r w:rsidR="00235179">
        <w:rPr>
          <w:rFonts w:ascii="Arial" w:hAnsi="Arial" w:cs="Arial"/>
          <w:sz w:val="20"/>
          <w:szCs w:val="20"/>
        </w:rPr>
        <w:t xml:space="preserve">einer unauflöslichen Verbindung von Mann und Frau in ihrer konkreten Gestalt </w:t>
      </w:r>
      <w:r>
        <w:rPr>
          <w:rFonts w:ascii="Arial" w:hAnsi="Arial" w:cs="Arial"/>
          <w:sz w:val="20"/>
          <w:szCs w:val="20"/>
        </w:rPr>
        <w:t xml:space="preserve">zur </w:t>
      </w:r>
      <w:r w:rsidR="00DA40B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bürgerlichen Ehe</w:t>
      </w:r>
      <w:r w:rsidR="00DA40B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degradiert</w:t>
      </w:r>
      <w:r w:rsidR="00235179">
        <w:rPr>
          <w:rFonts w:ascii="Arial" w:hAnsi="Arial" w:cs="Arial"/>
          <w:sz w:val="20"/>
          <w:szCs w:val="20"/>
        </w:rPr>
        <w:t xml:space="preserve">; die Sicht </w:t>
      </w:r>
      <w:r w:rsidR="00DA40BF">
        <w:rPr>
          <w:rFonts w:ascii="Arial" w:hAnsi="Arial" w:cs="Arial"/>
          <w:sz w:val="20"/>
          <w:szCs w:val="20"/>
        </w:rPr>
        <w:t>führt</w:t>
      </w:r>
      <w:r w:rsidR="00235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 einer völligen </w:t>
      </w:r>
      <w:r w:rsidR="00235179">
        <w:rPr>
          <w:rFonts w:ascii="Arial" w:hAnsi="Arial" w:cs="Arial"/>
          <w:sz w:val="20"/>
          <w:szCs w:val="20"/>
        </w:rPr>
        <w:t>Aufh</w:t>
      </w:r>
      <w:r w:rsidR="00235179">
        <w:rPr>
          <w:rFonts w:ascii="Arial" w:hAnsi="Arial" w:cs="Arial"/>
          <w:sz w:val="20"/>
          <w:szCs w:val="20"/>
        </w:rPr>
        <w:t>e</w:t>
      </w:r>
      <w:r w:rsidR="00235179">
        <w:rPr>
          <w:rFonts w:ascii="Arial" w:hAnsi="Arial" w:cs="Arial"/>
          <w:sz w:val="20"/>
          <w:szCs w:val="20"/>
        </w:rPr>
        <w:t xml:space="preserve">bung des </w:t>
      </w:r>
      <w:r>
        <w:rPr>
          <w:rFonts w:ascii="Arial" w:hAnsi="Arial" w:cs="Arial"/>
          <w:sz w:val="20"/>
          <w:szCs w:val="20"/>
        </w:rPr>
        <w:t xml:space="preserve">christlichen Eheverständnisses (vgl. dazu die verständlichen Reaktionen </w:t>
      </w:r>
      <w:r w:rsidR="00235179">
        <w:rPr>
          <w:rFonts w:ascii="Arial" w:hAnsi="Arial" w:cs="Arial"/>
          <w:sz w:val="20"/>
          <w:szCs w:val="20"/>
        </w:rPr>
        <w:t xml:space="preserve">katholischer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schöfe</w:t>
      </w:r>
      <w:r w:rsidR="00235179">
        <w:rPr>
          <w:rFonts w:ascii="Arial" w:hAnsi="Arial" w:cs="Arial"/>
          <w:sz w:val="20"/>
          <w:szCs w:val="20"/>
        </w:rPr>
        <w:t>, aber auch die harsche Kritik der Presse</w:t>
      </w:r>
      <w:r w:rsidR="00DA40BF">
        <w:rPr>
          <w:rFonts w:ascii="Arial" w:hAnsi="Arial" w:cs="Arial"/>
          <w:sz w:val="20"/>
          <w:szCs w:val="20"/>
        </w:rPr>
        <w:t xml:space="preserve"> und die Kritik aus der EKD selbst</w:t>
      </w:r>
      <w:r>
        <w:rPr>
          <w:rFonts w:ascii="Arial" w:hAnsi="Arial" w:cs="Arial"/>
          <w:sz w:val="20"/>
          <w:szCs w:val="20"/>
        </w:rPr>
        <w:t>)</w:t>
      </w:r>
    </w:p>
    <w:p w:rsidR="007A6522" w:rsidRPr="00DA40BF" w:rsidRDefault="00DA40BF" w:rsidP="001A7AC4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Militärbischof Hartmut Löwe in der F.A.Z. am 28.6.13: </w:t>
      </w:r>
      <w:r w:rsidR="003B2FF2">
        <w:rPr>
          <w:rFonts w:ascii="Arial" w:hAnsi="Arial" w:cs="Arial"/>
          <w:sz w:val="20"/>
          <w:szCs w:val="20"/>
        </w:rPr>
        <w:t>„</w:t>
      </w:r>
      <w:r w:rsidR="003B2FF2" w:rsidRPr="00DA40BF">
        <w:rPr>
          <w:rFonts w:ascii="Arial" w:hAnsi="Arial" w:cs="Arial"/>
          <w:b/>
          <w:sz w:val="20"/>
          <w:szCs w:val="20"/>
        </w:rPr>
        <w:t>Bei ihre Verabschiedung war der Rat der EKD so orientierungslos, dass er die beabsichtigte Orientierung  nicht zu geben ver</w:t>
      </w:r>
      <w:r w:rsidRPr="00DA40BF">
        <w:rPr>
          <w:rFonts w:ascii="Arial" w:hAnsi="Arial" w:cs="Arial"/>
          <w:b/>
          <w:sz w:val="20"/>
          <w:szCs w:val="20"/>
        </w:rPr>
        <w:t xml:space="preserve">mochte.“ </w:t>
      </w:r>
    </w:p>
    <w:sectPr w:rsidR="007A6522" w:rsidRPr="00DA40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EC4E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570BD2"/>
    <w:multiLevelType w:val="hybridMultilevel"/>
    <w:tmpl w:val="86EEF9A8"/>
    <w:lvl w:ilvl="0" w:tplc="D4B8549E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6F8B71F7"/>
    <w:multiLevelType w:val="hybridMultilevel"/>
    <w:tmpl w:val="C3483566"/>
    <w:lvl w:ilvl="0" w:tplc="8996B0EC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690"/>
    <w:rsid w:val="0000754C"/>
    <w:rsid w:val="00080CB0"/>
    <w:rsid w:val="00087878"/>
    <w:rsid w:val="000A5690"/>
    <w:rsid w:val="000D49D1"/>
    <w:rsid w:val="00117098"/>
    <w:rsid w:val="00144F0E"/>
    <w:rsid w:val="00181608"/>
    <w:rsid w:val="001A7AC4"/>
    <w:rsid w:val="002235E0"/>
    <w:rsid w:val="00230114"/>
    <w:rsid w:val="00235179"/>
    <w:rsid w:val="0024380B"/>
    <w:rsid w:val="00260C34"/>
    <w:rsid w:val="002C4C95"/>
    <w:rsid w:val="002C6E39"/>
    <w:rsid w:val="0037230D"/>
    <w:rsid w:val="003A7C0C"/>
    <w:rsid w:val="003B2FF2"/>
    <w:rsid w:val="003E345F"/>
    <w:rsid w:val="00402572"/>
    <w:rsid w:val="0043344B"/>
    <w:rsid w:val="00441DE3"/>
    <w:rsid w:val="00463110"/>
    <w:rsid w:val="00521BA7"/>
    <w:rsid w:val="00600C0D"/>
    <w:rsid w:val="006A5D8B"/>
    <w:rsid w:val="00721DB0"/>
    <w:rsid w:val="007316AC"/>
    <w:rsid w:val="007329EE"/>
    <w:rsid w:val="007A6522"/>
    <w:rsid w:val="00852EC7"/>
    <w:rsid w:val="008965D9"/>
    <w:rsid w:val="008D22EB"/>
    <w:rsid w:val="00903896"/>
    <w:rsid w:val="0090432A"/>
    <w:rsid w:val="009429D3"/>
    <w:rsid w:val="009951DC"/>
    <w:rsid w:val="009D6FC2"/>
    <w:rsid w:val="00A07E5A"/>
    <w:rsid w:val="00A11EA4"/>
    <w:rsid w:val="00A55F00"/>
    <w:rsid w:val="00A97DC9"/>
    <w:rsid w:val="00AB4668"/>
    <w:rsid w:val="00B15EF1"/>
    <w:rsid w:val="00B619C3"/>
    <w:rsid w:val="00BE67BF"/>
    <w:rsid w:val="00C1078F"/>
    <w:rsid w:val="00C2552F"/>
    <w:rsid w:val="00C55FC8"/>
    <w:rsid w:val="00C830D5"/>
    <w:rsid w:val="00C8753F"/>
    <w:rsid w:val="00CA2146"/>
    <w:rsid w:val="00CC0D23"/>
    <w:rsid w:val="00CD4AA9"/>
    <w:rsid w:val="00D0212A"/>
    <w:rsid w:val="00D52E84"/>
    <w:rsid w:val="00DA40BF"/>
    <w:rsid w:val="00E53B5C"/>
    <w:rsid w:val="00EA17C8"/>
    <w:rsid w:val="00EB76F5"/>
    <w:rsid w:val="00F20EBB"/>
    <w:rsid w:val="00F866A8"/>
    <w:rsid w:val="00FB3DA6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ind w:left="1416"/>
      <w:jc w:val="both"/>
      <w:outlineLvl w:val="1"/>
    </w:pPr>
    <w:rPr>
      <w:rFonts w:ascii="Arial" w:hAnsi="Arial" w:cs="Arial"/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Black" w:hAnsi="Arial Black" w:cs="Courier New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6" w:firstLine="24"/>
      <w:jc w:val="both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Arial" w:hAnsi="Arial" w:cs="Arial"/>
      <w:sz w:val="20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18"/>
    </w:rPr>
  </w:style>
  <w:style w:type="paragraph" w:styleId="Textkrper-Einzug3">
    <w:name w:val="Body Text Indent 3"/>
    <w:basedOn w:val="Standard"/>
    <w:pPr>
      <w:ind w:left="1416"/>
      <w:jc w:val="both"/>
    </w:pPr>
    <w:rPr>
      <w:rFonts w:ascii="Arial" w:hAnsi="Arial" w:cs="Arial"/>
      <w:sz w:val="20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sz w:val="20"/>
    </w:rPr>
  </w:style>
  <w:style w:type="paragraph" w:styleId="Aufzhlungszeichen">
    <w:name w:val="List Bullet"/>
    <w:basedOn w:val="Standard"/>
    <w:rsid w:val="001A7AC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Glaubensgespräch an St</vt:lpstr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Glaubensgespräch an St</dc:title>
  <dc:subject/>
  <dc:creator>Prof. Waldenfels</dc:creator>
  <cp:keywords/>
  <dc:description/>
  <cp:lastModifiedBy> </cp:lastModifiedBy>
  <cp:revision>2</cp:revision>
  <cp:lastPrinted>2011-07-13T12:40:00Z</cp:lastPrinted>
  <dcterms:created xsi:type="dcterms:W3CDTF">2014-02-12T10:07:00Z</dcterms:created>
  <dcterms:modified xsi:type="dcterms:W3CDTF">2014-02-12T10:07:00Z</dcterms:modified>
</cp:coreProperties>
</file>